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5AD2" w14:textId="77777777" w:rsidR="00F5327F" w:rsidRPr="00BC5348" w:rsidRDefault="00F5327F" w:rsidP="00F5327F">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F5327F" w:rsidRPr="00BC5348" w14:paraId="5D77EFFD"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7D7D0F3" w14:textId="13965D25"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r w:rsidR="0069433F">
              <w:rPr>
                <w:rFonts w:ascii="Times New Roman" w:hAnsi="Times New Roman" w:cs="Times New Roman"/>
                <w:b/>
                <w:sz w:val="20"/>
                <w:szCs w:val="20"/>
              </w:rPr>
              <w:t xml:space="preserve"> 9/2022</w:t>
            </w:r>
          </w:p>
        </w:tc>
      </w:tr>
      <w:tr w:rsidR="00F5327F" w:rsidRPr="00BC5348" w14:paraId="4EDA5B9D"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D3EA476" w14:textId="77777777" w:rsidR="00F5327F" w:rsidRPr="00BC5348" w:rsidRDefault="00F5327F" w:rsidP="001D0741">
            <w:pPr>
              <w:spacing w:line="360" w:lineRule="auto"/>
              <w:rPr>
                <w:rFonts w:ascii="Times New Roman" w:hAnsi="Times New Roman" w:cs="Times New Roman"/>
                <w:b/>
                <w:sz w:val="8"/>
                <w:szCs w:val="8"/>
              </w:rPr>
            </w:pPr>
          </w:p>
          <w:p w14:paraId="47381DC1" w14:textId="77777777" w:rsidR="00F5327F" w:rsidRPr="00BC5348" w:rsidRDefault="00F5327F"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Numer wniosku:  ………………………………………………………………………………………………..</w:t>
            </w:r>
          </w:p>
        </w:tc>
      </w:tr>
      <w:tr w:rsidR="00F5327F" w:rsidRPr="00BC5348" w14:paraId="640E95F9"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9F98275" w14:textId="77777777" w:rsidR="00F5327F" w:rsidRPr="00BC5348" w:rsidRDefault="00F5327F"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F5327F" w:rsidRPr="00BC5348" w14:paraId="6F011D42"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9C58A3" w14:textId="77777777" w:rsidR="00F5327F" w:rsidRPr="00BC5348" w:rsidRDefault="00F5327F" w:rsidP="001D0741">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F5327F" w:rsidRPr="00BC5348" w14:paraId="74C1D840"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18CC6816" w14:textId="77777777" w:rsidR="00F5327F" w:rsidRPr="00BC5348" w:rsidRDefault="00F5327F" w:rsidP="001D0741">
            <w:pPr>
              <w:spacing w:line="360" w:lineRule="auto"/>
              <w:rPr>
                <w:rFonts w:ascii="Times New Roman" w:hAnsi="Times New Roman" w:cs="Times New Roman"/>
                <w:b/>
                <w:sz w:val="20"/>
                <w:szCs w:val="20"/>
              </w:rPr>
            </w:pPr>
          </w:p>
        </w:tc>
      </w:tr>
      <w:tr w:rsidR="00F5327F" w:rsidRPr="00BC5348" w14:paraId="6C7FCE1A" w14:textId="77777777" w:rsidTr="001D0741">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91FB4C" w14:textId="77777777" w:rsidR="00F5327F" w:rsidRPr="00BC5348" w:rsidRDefault="00F5327F" w:rsidP="001D0741">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6269C0" w14:textId="77777777" w:rsidR="00F5327F" w:rsidRPr="00BC5348" w:rsidRDefault="00F5327F" w:rsidP="001D0741">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F5327F" w:rsidRPr="00BC5348" w14:paraId="75F3C402" w14:textId="77777777" w:rsidTr="001D0741">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12B61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2EE0EA9F"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4.2 Włączenie grup defaworyzowanych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95B440"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5B30B09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F5327F" w:rsidRPr="00BC5348" w14:paraId="74B3ABA4" w14:textId="77777777" w:rsidTr="001D0741">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23B3662E"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3463CA74"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A9283" w14:textId="77777777" w:rsidR="00F5327F" w:rsidRPr="00BC5348" w:rsidRDefault="00F5327F" w:rsidP="001D0741">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F5327F" w:rsidRPr="00BC5348" w14:paraId="63A65A6C" w14:textId="77777777" w:rsidTr="001D0741">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2BCC9CC1" w14:textId="77777777" w:rsidR="00F5327F" w:rsidRPr="00BC5348" w:rsidRDefault="00F5327F" w:rsidP="001D0741">
            <w:pPr>
              <w:rPr>
                <w:rFonts w:ascii="Times New Roman" w:hAnsi="Times New Roman" w:cs="Times New Roman"/>
                <w:sz w:val="20"/>
                <w:szCs w:val="20"/>
              </w:rPr>
            </w:pPr>
          </w:p>
        </w:tc>
      </w:tr>
      <w:tr w:rsidR="00F5327F" w:rsidRPr="00BC5348" w14:paraId="418D72AB"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FE7D7EB" w14:textId="77777777" w:rsidR="00F5327F" w:rsidRPr="00BC5348" w:rsidRDefault="00F5327F" w:rsidP="001D0741">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C5347C8"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1F5B5C6"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4B38FB"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62D5DD08" w14:textId="77777777" w:rsidR="00F5327F" w:rsidRPr="00BC5348" w:rsidRDefault="00F5327F" w:rsidP="001D0741">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F5327F" w:rsidRPr="00BC5348" w14:paraId="66B95587"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6A74E023"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C78CA3"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26B0E9A"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1BE511"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492F7CB7"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3DD05385"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7C20F1C6"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6E83EAE" w14:textId="77777777" w:rsidR="00F5327F" w:rsidRPr="00BC5348" w:rsidRDefault="00F5327F" w:rsidP="001D0741">
            <w:pPr>
              <w:rPr>
                <w:rFonts w:ascii="Times New Roman" w:hAnsi="Times New Roman" w:cs="Times New Roman"/>
                <w:sz w:val="20"/>
                <w:szCs w:val="20"/>
              </w:rPr>
            </w:pPr>
          </w:p>
        </w:tc>
      </w:tr>
      <w:tr w:rsidR="00F5327F" w:rsidRPr="00BC5348" w14:paraId="188767DD"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6F12FE59"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6B4822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5F2330B"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79CDFCD"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84274CB" w14:textId="77777777" w:rsidR="00F5327F" w:rsidRPr="00BC5348" w:rsidRDefault="00F5327F" w:rsidP="001D0741">
            <w:pPr>
              <w:rPr>
                <w:rFonts w:ascii="Times New Roman" w:hAnsi="Times New Roman" w:cs="Times New Roman"/>
                <w:sz w:val="20"/>
                <w:szCs w:val="20"/>
              </w:rPr>
            </w:pPr>
          </w:p>
        </w:tc>
      </w:tr>
      <w:tr w:rsidR="00F5327F" w:rsidRPr="00BC5348" w14:paraId="4C29E4A0"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1DA85424"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DB0AE29"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5E1646DD" w14:textId="77777777" w:rsidR="00F5327F" w:rsidRPr="00BC5348" w:rsidRDefault="00F5327F" w:rsidP="001D0741">
            <w:pPr>
              <w:rPr>
                <w:rFonts w:ascii="Times New Roman" w:hAnsi="Times New Roman" w:cs="Times New Roman"/>
                <w:sz w:val="20"/>
                <w:szCs w:val="20"/>
              </w:rPr>
            </w:pPr>
          </w:p>
          <w:p w14:paraId="17A982AD"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D06DA06" w14:textId="77777777" w:rsidR="00F5327F" w:rsidRPr="00BC5348" w:rsidRDefault="00F5327F" w:rsidP="001D0741">
            <w:pPr>
              <w:rPr>
                <w:rFonts w:ascii="Times New Roman" w:hAnsi="Times New Roman" w:cs="Times New Roman"/>
                <w:sz w:val="20"/>
                <w:szCs w:val="20"/>
              </w:rPr>
            </w:pPr>
          </w:p>
          <w:p w14:paraId="6AE6F457" w14:textId="77777777" w:rsidR="00F5327F" w:rsidRPr="00BC5348" w:rsidRDefault="00F5327F" w:rsidP="00F5327F">
            <w:pPr>
              <w:numPr>
                <w:ilvl w:val="0"/>
                <w:numId w:val="9"/>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938977B" w14:textId="77777777" w:rsidR="00F5327F" w:rsidRPr="00BC5348" w:rsidRDefault="00F5327F" w:rsidP="001D0741">
            <w:pPr>
              <w:ind w:left="360"/>
              <w:contextualSpacing/>
              <w:rPr>
                <w:rFonts w:ascii="Times New Roman" w:hAnsi="Times New Roman" w:cs="Times New Roman"/>
                <w:sz w:val="20"/>
                <w:szCs w:val="20"/>
              </w:rPr>
            </w:pPr>
          </w:p>
          <w:p w14:paraId="4B18167C" w14:textId="77777777" w:rsidR="00F5327F" w:rsidRPr="00BC5348" w:rsidRDefault="00F5327F" w:rsidP="00F5327F">
            <w:pPr>
              <w:numPr>
                <w:ilvl w:val="0"/>
                <w:numId w:val="9"/>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2373DA" w14:textId="77777777" w:rsidR="00F5327F" w:rsidRPr="00BC5348" w:rsidRDefault="00F5327F" w:rsidP="001D0741">
            <w:pPr>
              <w:ind w:left="720"/>
              <w:contextualSpacing/>
              <w:rPr>
                <w:rFonts w:ascii="Times New Roman" w:hAnsi="Times New Roman" w:cs="Times New Roman"/>
                <w:sz w:val="20"/>
                <w:szCs w:val="20"/>
              </w:rPr>
            </w:pPr>
          </w:p>
          <w:p w14:paraId="4920661C" w14:textId="77777777" w:rsidR="00F5327F" w:rsidRPr="00BC5348" w:rsidRDefault="00F5327F" w:rsidP="00F5327F">
            <w:pPr>
              <w:numPr>
                <w:ilvl w:val="0"/>
                <w:numId w:val="9"/>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7AFA1A02" w14:textId="77777777" w:rsidR="00F5327F" w:rsidRPr="00BC5348" w:rsidRDefault="00F5327F" w:rsidP="001D0741">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C4B6C2" w14:textId="77777777" w:rsidR="00F5327F" w:rsidRPr="00BC5348" w:rsidRDefault="00F5327F" w:rsidP="001D0741">
            <w:pPr>
              <w:jc w:val="center"/>
              <w:rPr>
                <w:rFonts w:ascii="Times New Roman" w:hAnsi="Times New Roman" w:cs="Times New Roman"/>
                <w:sz w:val="20"/>
                <w:szCs w:val="20"/>
              </w:rPr>
            </w:pPr>
          </w:p>
          <w:p w14:paraId="00A43062" w14:textId="77777777" w:rsidR="00F5327F" w:rsidRPr="00BC5348" w:rsidRDefault="00F5327F" w:rsidP="001D0741">
            <w:pPr>
              <w:jc w:val="center"/>
              <w:rPr>
                <w:rFonts w:ascii="Times New Roman" w:hAnsi="Times New Roman" w:cs="Times New Roman"/>
                <w:sz w:val="20"/>
                <w:szCs w:val="20"/>
              </w:rPr>
            </w:pPr>
          </w:p>
          <w:p w14:paraId="35E0D567" w14:textId="77777777" w:rsidR="00F5327F" w:rsidRPr="00BC5348" w:rsidRDefault="00F5327F" w:rsidP="001D0741">
            <w:pPr>
              <w:jc w:val="center"/>
              <w:rPr>
                <w:rFonts w:ascii="Times New Roman" w:hAnsi="Times New Roman" w:cs="Times New Roman"/>
                <w:sz w:val="20"/>
                <w:szCs w:val="20"/>
              </w:rPr>
            </w:pPr>
          </w:p>
          <w:p w14:paraId="0D6793EF" w14:textId="77777777" w:rsidR="00F5327F" w:rsidRPr="00BC5348" w:rsidRDefault="00F5327F" w:rsidP="001D0741">
            <w:pPr>
              <w:jc w:val="center"/>
              <w:rPr>
                <w:rFonts w:ascii="Times New Roman" w:hAnsi="Times New Roman" w:cs="Times New Roman"/>
                <w:sz w:val="20"/>
                <w:szCs w:val="20"/>
              </w:rPr>
            </w:pPr>
          </w:p>
          <w:p w14:paraId="59A2E9A6" w14:textId="77777777" w:rsidR="00F5327F" w:rsidRPr="00BC5348" w:rsidRDefault="00F5327F" w:rsidP="001D0741">
            <w:pPr>
              <w:jc w:val="center"/>
              <w:rPr>
                <w:rFonts w:ascii="Times New Roman" w:hAnsi="Times New Roman" w:cs="Times New Roman"/>
                <w:sz w:val="20"/>
                <w:szCs w:val="20"/>
              </w:rPr>
            </w:pPr>
          </w:p>
          <w:p w14:paraId="59EA7D7D" w14:textId="77777777" w:rsidR="00F5327F" w:rsidRPr="00BC5348" w:rsidRDefault="00F5327F" w:rsidP="001D0741">
            <w:pPr>
              <w:rPr>
                <w:rFonts w:ascii="Times New Roman" w:hAnsi="Times New Roman" w:cs="Times New Roman"/>
                <w:sz w:val="20"/>
                <w:szCs w:val="20"/>
              </w:rPr>
            </w:pPr>
          </w:p>
          <w:p w14:paraId="13DD0BBD"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21817A5" w14:textId="77777777" w:rsidR="00F5327F" w:rsidRPr="00BC5348" w:rsidRDefault="00F5327F" w:rsidP="001D0741">
            <w:pPr>
              <w:jc w:val="center"/>
              <w:rPr>
                <w:rFonts w:ascii="Times New Roman" w:hAnsi="Times New Roman" w:cs="Times New Roman"/>
                <w:sz w:val="20"/>
                <w:szCs w:val="20"/>
              </w:rPr>
            </w:pPr>
          </w:p>
          <w:p w14:paraId="114FE172"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889759" w14:textId="77777777" w:rsidR="00F5327F" w:rsidRPr="00BC5348" w:rsidRDefault="00F5327F" w:rsidP="001D0741">
            <w:pPr>
              <w:jc w:val="center"/>
              <w:rPr>
                <w:rFonts w:ascii="Times New Roman" w:hAnsi="Times New Roman" w:cs="Times New Roman"/>
                <w:sz w:val="20"/>
                <w:szCs w:val="20"/>
              </w:rPr>
            </w:pPr>
          </w:p>
          <w:p w14:paraId="53230F5E"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11616B"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4CD2F84C"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548C5ED1" w14:textId="77777777" w:rsidR="00F5327F" w:rsidRPr="00BC5348" w:rsidRDefault="00F5327F" w:rsidP="001D074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81E554A" w14:textId="77777777" w:rsidR="00F5327F" w:rsidRPr="00BC5348" w:rsidRDefault="00F5327F" w:rsidP="001D074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EBAB7CC" w14:textId="77777777" w:rsidR="00F5327F" w:rsidRPr="00BC5348" w:rsidRDefault="00F5327F" w:rsidP="001D0741">
            <w:pPr>
              <w:rPr>
                <w:rFonts w:ascii="Times New Roman" w:hAnsi="Times New Roman" w:cs="Times New Roman"/>
                <w:sz w:val="20"/>
                <w:szCs w:val="20"/>
              </w:rPr>
            </w:pPr>
          </w:p>
        </w:tc>
      </w:tr>
      <w:tr w:rsidR="00F5327F" w:rsidRPr="00BC5348" w14:paraId="6283BA55"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7E34ADF4"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2760E"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777E035"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14B62"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6A15F1A6"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6E461AB"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w:t>
            </w:r>
          </w:p>
        </w:tc>
      </w:tr>
      <w:tr w:rsidR="00F5327F" w:rsidRPr="00BC5348" w14:paraId="34372DDD"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72902737"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3D6F1B"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2DC17AF"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8542E2" w14:textId="77777777" w:rsidR="00F5327F" w:rsidRPr="00BC5348" w:rsidRDefault="00F5327F" w:rsidP="001D0741">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33639552"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E642DA1" w14:textId="77777777" w:rsidR="00F5327F" w:rsidRPr="00BC5348" w:rsidRDefault="00F5327F" w:rsidP="001D0741">
            <w:pPr>
              <w:rPr>
                <w:rFonts w:ascii="Times New Roman" w:hAnsi="Times New Roman" w:cs="Times New Roman"/>
                <w:sz w:val="20"/>
                <w:szCs w:val="20"/>
              </w:rPr>
            </w:pPr>
          </w:p>
        </w:tc>
      </w:tr>
      <w:tr w:rsidR="00F5327F" w:rsidRPr="00BC5348" w14:paraId="6E77C4E0"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43E74FDA"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EF2C7F"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418AD6DC" w14:textId="77777777" w:rsidR="00F5327F" w:rsidRPr="00BC5348" w:rsidRDefault="00F5327F" w:rsidP="001D0741">
            <w:pPr>
              <w:rPr>
                <w:rFonts w:ascii="Times New Roman" w:hAnsi="Times New Roman" w:cs="Times New Roman"/>
                <w:sz w:val="20"/>
                <w:szCs w:val="20"/>
              </w:rPr>
            </w:pPr>
          </w:p>
          <w:p w14:paraId="06617DC8" w14:textId="77777777" w:rsidR="00F5327F" w:rsidRPr="00BC5348" w:rsidRDefault="00F5327F" w:rsidP="00F5327F">
            <w:pPr>
              <w:numPr>
                <w:ilvl w:val="0"/>
                <w:numId w:val="10"/>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5231C8C" w14:textId="77777777" w:rsidR="00F5327F" w:rsidRPr="00BC5348" w:rsidRDefault="00F5327F" w:rsidP="001D0741">
            <w:pPr>
              <w:ind w:left="357"/>
              <w:contextualSpacing/>
              <w:rPr>
                <w:rFonts w:ascii="Times New Roman" w:hAnsi="Times New Roman" w:cs="Times New Roman"/>
                <w:sz w:val="20"/>
                <w:szCs w:val="20"/>
              </w:rPr>
            </w:pPr>
          </w:p>
          <w:p w14:paraId="0F0B1E39" w14:textId="77777777" w:rsidR="00F5327F" w:rsidRPr="00BC5348" w:rsidRDefault="00F5327F" w:rsidP="00F5327F">
            <w:pPr>
              <w:numPr>
                <w:ilvl w:val="0"/>
                <w:numId w:val="10"/>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389331BF" w14:textId="77777777" w:rsidR="00F5327F" w:rsidRPr="00BC5348" w:rsidRDefault="00F5327F" w:rsidP="001D0741">
            <w:pPr>
              <w:rPr>
                <w:rFonts w:ascii="Times New Roman" w:hAnsi="Times New Roman" w:cs="Times New Roman"/>
                <w:sz w:val="20"/>
                <w:szCs w:val="20"/>
              </w:rPr>
            </w:pPr>
          </w:p>
          <w:p w14:paraId="01E83958" w14:textId="77777777" w:rsidR="00F5327F" w:rsidRPr="00BC5348" w:rsidRDefault="00F5327F" w:rsidP="00F5327F">
            <w:pPr>
              <w:numPr>
                <w:ilvl w:val="0"/>
                <w:numId w:val="10"/>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EC86FC" w14:textId="77777777" w:rsidR="00F5327F" w:rsidRPr="00BC5348" w:rsidRDefault="00F5327F" w:rsidP="001D0741">
            <w:pPr>
              <w:jc w:val="center"/>
              <w:rPr>
                <w:rFonts w:ascii="Times New Roman" w:hAnsi="Times New Roman" w:cs="Times New Roman"/>
                <w:strike/>
                <w:sz w:val="20"/>
                <w:szCs w:val="20"/>
              </w:rPr>
            </w:pPr>
          </w:p>
          <w:p w14:paraId="41035D39" w14:textId="77777777" w:rsidR="00F5327F" w:rsidRPr="00BC5348" w:rsidRDefault="00F5327F" w:rsidP="001D0741">
            <w:pPr>
              <w:jc w:val="center"/>
              <w:rPr>
                <w:rFonts w:ascii="Times New Roman" w:hAnsi="Times New Roman" w:cs="Times New Roman"/>
                <w:strike/>
                <w:sz w:val="20"/>
                <w:szCs w:val="20"/>
              </w:rPr>
            </w:pPr>
          </w:p>
          <w:p w14:paraId="391C1EDC" w14:textId="77777777" w:rsidR="00F5327F" w:rsidRPr="00BC5348" w:rsidRDefault="00F5327F" w:rsidP="001D0741">
            <w:pPr>
              <w:jc w:val="center"/>
              <w:rPr>
                <w:rFonts w:ascii="Times New Roman" w:hAnsi="Times New Roman" w:cs="Times New Roman"/>
                <w:strike/>
                <w:sz w:val="20"/>
                <w:szCs w:val="20"/>
              </w:rPr>
            </w:pPr>
          </w:p>
          <w:p w14:paraId="06D8BEE2" w14:textId="77777777" w:rsidR="00F5327F" w:rsidRPr="00BC5348" w:rsidRDefault="00F5327F" w:rsidP="001D0741">
            <w:pPr>
              <w:rPr>
                <w:rFonts w:ascii="Times New Roman" w:hAnsi="Times New Roman" w:cs="Times New Roman"/>
                <w:strike/>
                <w:sz w:val="20"/>
                <w:szCs w:val="20"/>
              </w:rPr>
            </w:pPr>
          </w:p>
          <w:p w14:paraId="441F993A"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B461799" w14:textId="77777777" w:rsidR="00F5327F" w:rsidRPr="00BC5348" w:rsidRDefault="00F5327F" w:rsidP="001D0741">
            <w:pPr>
              <w:jc w:val="center"/>
              <w:rPr>
                <w:rFonts w:ascii="Times New Roman" w:hAnsi="Times New Roman" w:cs="Times New Roman"/>
                <w:sz w:val="20"/>
                <w:szCs w:val="20"/>
              </w:rPr>
            </w:pPr>
          </w:p>
          <w:p w14:paraId="1B03EDAD" w14:textId="77777777" w:rsidR="00F5327F" w:rsidRPr="00BC5348" w:rsidRDefault="00F5327F" w:rsidP="001D0741">
            <w:pPr>
              <w:jc w:val="center"/>
              <w:rPr>
                <w:rFonts w:ascii="Times New Roman" w:hAnsi="Times New Roman" w:cs="Times New Roman"/>
                <w:sz w:val="20"/>
                <w:szCs w:val="20"/>
              </w:rPr>
            </w:pPr>
          </w:p>
          <w:p w14:paraId="00C1B5F5"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26E1CA5" w14:textId="77777777" w:rsidR="00F5327F" w:rsidRPr="00BC5348" w:rsidRDefault="00F5327F" w:rsidP="001D0741">
            <w:pPr>
              <w:jc w:val="center"/>
              <w:rPr>
                <w:rFonts w:ascii="Times New Roman" w:hAnsi="Times New Roman" w:cs="Times New Roman"/>
                <w:sz w:val="20"/>
                <w:szCs w:val="20"/>
              </w:rPr>
            </w:pPr>
          </w:p>
          <w:p w14:paraId="754DB8F6" w14:textId="77777777" w:rsidR="00F5327F" w:rsidRPr="00BC5348" w:rsidRDefault="00F5327F" w:rsidP="001D0741">
            <w:pPr>
              <w:jc w:val="center"/>
              <w:rPr>
                <w:rFonts w:ascii="Times New Roman" w:hAnsi="Times New Roman" w:cs="Times New Roman"/>
                <w:sz w:val="20"/>
                <w:szCs w:val="20"/>
              </w:rPr>
            </w:pPr>
          </w:p>
          <w:p w14:paraId="41BDA499"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2360611E" w14:textId="77777777" w:rsidR="00F5327F" w:rsidRPr="00BC5348" w:rsidRDefault="00F5327F" w:rsidP="001D0741">
            <w:pPr>
              <w:jc w:val="center"/>
              <w:rPr>
                <w:rFonts w:ascii="Times New Roman" w:hAnsi="Times New Roman" w:cs="Times New Roman"/>
                <w:sz w:val="20"/>
                <w:szCs w:val="20"/>
              </w:rPr>
            </w:pPr>
          </w:p>
          <w:p w14:paraId="437A8614" w14:textId="77777777" w:rsidR="00F5327F" w:rsidRPr="00BC5348" w:rsidRDefault="00F5327F" w:rsidP="001D0741">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76805C"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3327341F"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20755EB" w14:textId="77777777" w:rsidR="00F5327F" w:rsidRPr="00BC5348" w:rsidRDefault="00F5327F" w:rsidP="001D0741">
            <w:pPr>
              <w:rPr>
                <w:rFonts w:ascii="Times New Roman" w:hAnsi="Times New Roman" w:cs="Times New Roman"/>
                <w:sz w:val="20"/>
                <w:szCs w:val="20"/>
              </w:rPr>
            </w:pPr>
          </w:p>
        </w:tc>
      </w:tr>
      <w:tr w:rsidR="00F5327F" w:rsidRPr="00BC5348" w14:paraId="1D1C47A3" w14:textId="77777777" w:rsidTr="001D0741">
        <w:tc>
          <w:tcPr>
            <w:tcW w:w="648" w:type="dxa"/>
            <w:tcBorders>
              <w:top w:val="single" w:sz="4" w:space="0" w:color="auto"/>
              <w:left w:val="single" w:sz="4" w:space="0" w:color="auto"/>
              <w:bottom w:val="single" w:sz="4" w:space="0" w:color="auto"/>
              <w:right w:val="single" w:sz="4" w:space="0" w:color="auto"/>
            </w:tcBorders>
            <w:shd w:val="clear" w:color="auto" w:fill="D9D9D9"/>
          </w:tcPr>
          <w:p w14:paraId="03C8C18A" w14:textId="77777777" w:rsidR="00F5327F" w:rsidRPr="00BC5348" w:rsidRDefault="00F5327F" w:rsidP="00F5327F">
            <w:pPr>
              <w:numPr>
                <w:ilvl w:val="0"/>
                <w:numId w:val="8"/>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47B56E6D"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65A1448" w14:textId="77777777" w:rsidR="00F5327F" w:rsidRPr="00BC5348" w:rsidRDefault="00F5327F" w:rsidP="001D0741">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8C8C8FA"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69D2E8D9" w14:textId="77777777" w:rsidR="00F5327F" w:rsidRPr="00BC5348" w:rsidRDefault="00F5327F" w:rsidP="001D074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5B3BB85A" w14:textId="77777777" w:rsidR="00F5327F" w:rsidRPr="00BC5348" w:rsidRDefault="00F5327F" w:rsidP="001D0741">
            <w:pPr>
              <w:rPr>
                <w:rFonts w:ascii="Times New Roman" w:hAnsi="Times New Roman" w:cs="Times New Roman"/>
                <w:sz w:val="20"/>
                <w:szCs w:val="20"/>
              </w:rPr>
            </w:pPr>
          </w:p>
        </w:tc>
      </w:tr>
      <w:tr w:rsidR="00F5327F" w:rsidRPr="00BC5348" w14:paraId="55294028" w14:textId="77777777" w:rsidTr="001D0741">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F5041E" w14:textId="77777777" w:rsidR="00F5327F" w:rsidRPr="00BC5348" w:rsidRDefault="00F5327F" w:rsidP="001D0741">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ABCCD0" w14:textId="77777777" w:rsidR="00F5327F" w:rsidRPr="00BC5348" w:rsidRDefault="00F5327F" w:rsidP="001D0741">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3DD2035" w14:textId="77777777" w:rsidR="00F5327F" w:rsidRPr="00BC5348" w:rsidRDefault="00F5327F" w:rsidP="001D0741">
            <w:pPr>
              <w:rPr>
                <w:rFonts w:ascii="Times New Roman" w:hAnsi="Times New Roman" w:cs="Times New Roman"/>
                <w:sz w:val="20"/>
                <w:szCs w:val="20"/>
              </w:rPr>
            </w:pPr>
          </w:p>
        </w:tc>
      </w:tr>
    </w:tbl>
    <w:p w14:paraId="5F8D94F1" w14:textId="6B7CB179" w:rsidR="004D3AD1" w:rsidRPr="00BF24FE" w:rsidRDefault="004D3AD1" w:rsidP="004D3AD1">
      <w:pPr>
        <w:rPr>
          <w:rFonts w:ascii="Times New Roman" w:hAnsi="Times New Roman" w:cs="Times New Roman"/>
        </w:rPr>
      </w:pPr>
      <w:r w:rsidRPr="00BF24FE">
        <w:rPr>
          <w:rFonts w:ascii="Times New Roman" w:hAnsi="Times New Roman" w:cs="Times New Roman"/>
        </w:rPr>
        <w:t>Minimalna liczba punktów, jaką należy uzyskać aby otrzymać dofin</w:t>
      </w:r>
      <w:r>
        <w:rPr>
          <w:rFonts w:ascii="Times New Roman" w:hAnsi="Times New Roman" w:cs="Times New Roman"/>
        </w:rPr>
        <w:t xml:space="preserve">ansowanie w naborze Nr </w:t>
      </w:r>
      <w:r>
        <w:rPr>
          <w:rFonts w:ascii="Times New Roman" w:hAnsi="Times New Roman" w:cs="Times New Roman"/>
        </w:rPr>
        <w:t>9</w:t>
      </w:r>
      <w:r>
        <w:rPr>
          <w:rFonts w:ascii="Times New Roman" w:hAnsi="Times New Roman" w:cs="Times New Roman"/>
        </w:rPr>
        <w:t xml:space="preserve">/2022 </w:t>
      </w:r>
      <w:r>
        <w:rPr>
          <w:rFonts w:ascii="Times New Roman" w:hAnsi="Times New Roman" w:cs="Times New Roman"/>
          <w:b/>
        </w:rPr>
        <w:t xml:space="preserve">– </w:t>
      </w:r>
      <w:r>
        <w:rPr>
          <w:rFonts w:ascii="Times New Roman" w:hAnsi="Times New Roman" w:cs="Times New Roman"/>
          <w:b/>
        </w:rPr>
        <w:t>9</w:t>
      </w:r>
      <w:r w:rsidRPr="00BF24FE">
        <w:rPr>
          <w:rFonts w:ascii="Times New Roman" w:hAnsi="Times New Roman" w:cs="Times New Roman"/>
          <w:b/>
        </w:rPr>
        <w:t xml:space="preserve"> pkt</w:t>
      </w:r>
    </w:p>
    <w:p w14:paraId="52B7575E"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5E9F8EE2"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w:t>
      </w:r>
    </w:p>
    <w:p w14:paraId="2A3956DC"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74C5F8D4" w14:textId="77777777" w:rsidR="00F5327F" w:rsidRPr="00BC5348" w:rsidRDefault="00F5327F" w:rsidP="00F5327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558286" w14:textId="77777777" w:rsidR="008B256D" w:rsidRPr="00F5327F" w:rsidRDefault="008B256D" w:rsidP="00F5327F"/>
    <w:sectPr w:rsidR="008B256D" w:rsidRPr="00F53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11139F"/>
    <w:multiLevelType w:val="hybridMultilevel"/>
    <w:tmpl w:val="F3466E7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744CEE"/>
    <w:multiLevelType w:val="hybridMultilevel"/>
    <w:tmpl w:val="F53478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E088F"/>
    <w:multiLevelType w:val="hybridMultilevel"/>
    <w:tmpl w:val="EFECD7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F87EDF"/>
    <w:multiLevelType w:val="hybridMultilevel"/>
    <w:tmpl w:val="33B6381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3F531AB4"/>
    <w:multiLevelType w:val="hybridMultilevel"/>
    <w:tmpl w:val="8E302CD2"/>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D3E59E1"/>
    <w:multiLevelType w:val="hybridMultilevel"/>
    <w:tmpl w:val="D8F6F258"/>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829521844">
    <w:abstractNumId w:val="1"/>
  </w:num>
  <w:num w:numId="2" w16cid:durableId="2051957072">
    <w:abstractNumId w:val="9"/>
  </w:num>
  <w:num w:numId="3" w16cid:durableId="739711635">
    <w:abstractNumId w:val="3"/>
  </w:num>
  <w:num w:numId="4" w16cid:durableId="1059741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1998427">
    <w:abstractNumId w:val="5"/>
  </w:num>
  <w:num w:numId="6" w16cid:durableId="93983444">
    <w:abstractNumId w:val="8"/>
  </w:num>
  <w:num w:numId="7" w16cid:durableId="321126946">
    <w:abstractNumId w:val="7"/>
  </w:num>
  <w:num w:numId="8" w16cid:durableId="18691007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03272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3242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33F"/>
    <w:rsid w:val="004D3AD1"/>
    <w:rsid w:val="0069433F"/>
    <w:rsid w:val="006E333F"/>
    <w:rsid w:val="008B256D"/>
    <w:rsid w:val="00CE6D7E"/>
    <w:rsid w:val="00F53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C134"/>
  <w15:docId w15:val="{EEE8DCB6-FCBC-44CC-A55A-F52F2FE6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6D7E"/>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5916</Characters>
  <Application>Microsoft Office Word</Application>
  <DocSecurity>0</DocSecurity>
  <Lines>49</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5</cp:revision>
  <dcterms:created xsi:type="dcterms:W3CDTF">2020-11-12T08:35:00Z</dcterms:created>
  <dcterms:modified xsi:type="dcterms:W3CDTF">2022-07-18T11:56:00Z</dcterms:modified>
</cp:coreProperties>
</file>